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05" w:rsidRDefault="00627F05" w:rsidP="00627F05">
      <w:pPr>
        <w:spacing w:after="0" w:line="36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5F6967">
        <w:rPr>
          <w:rFonts w:ascii="Times New Roman" w:hAnsi="Times New Roman"/>
          <w:b/>
          <w:noProof/>
          <w:sz w:val="28"/>
          <w:szCs w:val="28"/>
          <w:lang w:val="ro-RO"/>
        </w:rPr>
        <w:t>PARLAMENTUL ROMÂNIEI</w:t>
      </w:r>
    </w:p>
    <w:p w:rsidR="00627F05" w:rsidRDefault="00627F05" w:rsidP="00627F05">
      <w:pPr>
        <w:spacing w:after="0" w:line="360" w:lineRule="auto"/>
        <w:contextualSpacing/>
        <w:rPr>
          <w:rFonts w:ascii="Times New Roman" w:hAnsi="Times New Roman"/>
          <w:b/>
          <w:noProof/>
          <w:sz w:val="28"/>
          <w:szCs w:val="28"/>
          <w:lang w:val="ro-RO"/>
        </w:rPr>
      </w:pPr>
      <w:r>
        <w:rPr>
          <w:rFonts w:ascii="Times New Roman" w:hAnsi="Times New Roman"/>
          <w:b/>
          <w:noProof/>
          <w:sz w:val="28"/>
          <w:szCs w:val="28"/>
          <w:lang w:val="ro-RO"/>
        </w:rPr>
        <w:t>CAMERA DEPUTAŢILOR                                                           SENATUL</w:t>
      </w:r>
    </w:p>
    <w:p w:rsidR="00627F05" w:rsidRDefault="00627F05" w:rsidP="00627F05">
      <w:pPr>
        <w:spacing w:after="0" w:line="360" w:lineRule="auto"/>
        <w:contextualSpacing/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627F05" w:rsidRPr="005F6967" w:rsidRDefault="00627F05" w:rsidP="00627F05">
      <w:pPr>
        <w:spacing w:after="0" w:line="36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t>PARLAMENTUL ROM</w:t>
      </w:r>
      <w:r w:rsidR="00D0692D">
        <w:rPr>
          <w:rFonts w:ascii="Times New Roman" w:hAnsi="Times New Roman"/>
          <w:b/>
          <w:noProof/>
          <w:sz w:val="24"/>
          <w:szCs w:val="24"/>
          <w:lang w:val="ro-RO"/>
        </w:rPr>
        <w:t>ÂNIEI ADOPTĂ</w:t>
      </w:r>
      <w:r>
        <w:rPr>
          <w:rFonts w:ascii="Times New Roman" w:hAnsi="Times New Roman"/>
          <w:b/>
          <w:noProof/>
          <w:sz w:val="24"/>
          <w:szCs w:val="24"/>
          <w:lang w:val="ro-RO"/>
        </w:rPr>
        <w:t xml:space="preserve"> PREZENTA LEGE</w:t>
      </w:r>
    </w:p>
    <w:p w:rsidR="0014125C" w:rsidRPr="0014125C" w:rsidRDefault="0014125C" w:rsidP="0014125C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14125C">
        <w:rPr>
          <w:rFonts w:ascii="Times New Roman" w:hAnsi="Times New Roman"/>
          <w:b/>
          <w:noProof/>
          <w:sz w:val="24"/>
          <w:szCs w:val="24"/>
          <w:lang w:val="ro-RO"/>
        </w:rPr>
        <w:t>LEGE</w:t>
      </w:r>
    </w:p>
    <w:p w:rsidR="0014125C" w:rsidRPr="0014125C" w:rsidRDefault="0014125C" w:rsidP="0014125C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14125C" w:rsidRPr="0014125C" w:rsidRDefault="0014125C" w:rsidP="0014125C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ro-RO"/>
        </w:rPr>
      </w:pPr>
      <w:r w:rsidRPr="0014125C">
        <w:rPr>
          <w:rFonts w:ascii="Times New Roman" w:hAnsi="Times New Roman"/>
          <w:noProof/>
          <w:sz w:val="24"/>
          <w:szCs w:val="24"/>
          <w:lang w:val="ro-RO"/>
        </w:rPr>
        <w:t>pentru modificarea legii nr. 227/2015 privind Codul Fiscal al României.</w:t>
      </w:r>
    </w:p>
    <w:p w:rsidR="0014125C" w:rsidRPr="0014125C" w:rsidRDefault="0014125C" w:rsidP="0014125C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BF3157" w:rsidRPr="00BF3157" w:rsidRDefault="0014125C" w:rsidP="00BF3157">
      <w:pPr>
        <w:spacing w:line="240" w:lineRule="auto"/>
        <w:contextualSpacing/>
        <w:rPr>
          <w:rFonts w:ascii="Times New Roman" w:hAnsi="Times New Roman"/>
          <w:noProof/>
          <w:sz w:val="24"/>
          <w:szCs w:val="24"/>
          <w:lang w:val="ro-RO"/>
        </w:rPr>
      </w:pPr>
      <w:r w:rsidRPr="0014125C">
        <w:rPr>
          <w:rFonts w:ascii="Times New Roman" w:hAnsi="Times New Roman"/>
          <w:b/>
          <w:noProof/>
          <w:sz w:val="24"/>
          <w:szCs w:val="24"/>
          <w:lang w:val="ro-RO"/>
        </w:rPr>
        <w:t>Articol unic.</w:t>
      </w:r>
      <w:r w:rsidRPr="0014125C">
        <w:rPr>
          <w:rFonts w:ascii="Times New Roman" w:hAnsi="Times New Roman"/>
          <w:noProof/>
          <w:sz w:val="24"/>
          <w:szCs w:val="24"/>
          <w:lang w:val="ro-RO"/>
        </w:rPr>
        <w:t xml:space="preserve"> – Legea nr. 227/2015 privind Codul Fiscal publicată în Monitorul Oficial al României, Partea I, nr. 688 din 10 septembrie 2015, cu modificările şi completările ulterioare, se modifică după cum urmează:</w:t>
      </w:r>
      <w:r w:rsidR="00BF3157" w:rsidRPr="00BF3157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</w:p>
    <w:p w:rsidR="00BF3157" w:rsidRPr="00BF3157" w:rsidRDefault="00BF3157" w:rsidP="00BF3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BF3157">
        <w:rPr>
          <w:rFonts w:ascii="Times New Roman" w:hAnsi="Times New Roman"/>
          <w:noProof/>
          <w:sz w:val="24"/>
          <w:szCs w:val="24"/>
          <w:lang w:val="ro-RO"/>
        </w:rPr>
        <w:t>La articolul 25 alin. 4 lit. i) va avea următorul cuprins:</w:t>
      </w:r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BF3157">
        <w:rPr>
          <w:rFonts w:ascii="Times New Roman" w:hAnsi="Times New Roman"/>
          <w:i/>
          <w:noProof/>
          <w:sz w:val="24"/>
          <w:szCs w:val="24"/>
          <w:lang w:val="ro-RO"/>
        </w:rPr>
        <w:t>i),,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cheltuielile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de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sponsorizare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și/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sau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mecenat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și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cheltuielile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privind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bursele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private,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acordate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potrivit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legii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>.</w:t>
      </w:r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333333"/>
          <w:sz w:val="24"/>
          <w:szCs w:val="24"/>
        </w:rPr>
      </w:pP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Contribuabilii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care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efectuează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sponsorizări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și/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sau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acte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de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mecenat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,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potrivit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prevederilor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Legii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r w:rsidRPr="00BF3157">
        <w:rPr>
          <w:rFonts w:ascii="Times New Roman" w:hAnsi="Times New Roman"/>
          <w:i/>
          <w:color w:val="2A76A8"/>
          <w:sz w:val="24"/>
          <w:szCs w:val="24"/>
        </w:rPr>
        <w:t xml:space="preserve">nr. 32/1994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privind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sponsorizarea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, cu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modificările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și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completările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ulterioare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, și ale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Legii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bibliotecilor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r w:rsidRPr="00BF3157">
        <w:rPr>
          <w:rFonts w:ascii="Times New Roman" w:hAnsi="Times New Roman"/>
          <w:i/>
          <w:color w:val="2A76A8"/>
          <w:sz w:val="24"/>
          <w:szCs w:val="24"/>
        </w:rPr>
        <w:t>nr. 334/2002</w:t>
      </w:r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,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republicată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, cu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modificările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și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completările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ulterioare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,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acordă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burse private,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potrivit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legii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,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scad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sumele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aferente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din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impozitul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pe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profit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datorat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,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astfel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>:</w:t>
      </w:r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p w:rsidR="00BF3157" w:rsidRPr="00BF3157" w:rsidRDefault="00BF3157" w:rsidP="00BF31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în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limita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intervalului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de  15%-30% din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impozitul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pe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profit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datorat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corespunzător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următoarelor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4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praguri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>: 15%, 20%, 25%, 30%;</w:t>
      </w:r>
    </w:p>
    <w:p w:rsidR="00BF3157" w:rsidRPr="00BF3157" w:rsidRDefault="00BF3157" w:rsidP="00BF315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pentru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fiecare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din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cele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4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praguri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enunțate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la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punctul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1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urmează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a se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mai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scade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procente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corespunzătoare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de 2%-3%-4% și 5%, din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diferența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impozitului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de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plată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rămas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a fi de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achitat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astfel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: 2%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pentru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pragul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de 15%, 3%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pentru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pragul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de 20%, 4%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pentru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pragul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de 25% si 5%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pentru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pragul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de 30%.</w:t>
      </w:r>
    </w:p>
    <w:p w:rsidR="00BF3157" w:rsidRPr="00BF3157" w:rsidRDefault="00BF3157" w:rsidP="00BF315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În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cazul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sponsorizărilor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efectuate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către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entități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persoane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juridice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fără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scop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lucrativ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inclusiv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unități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de cult,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sumele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aferente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acestora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scad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din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impozitul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profit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datorat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în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limitele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prevăzute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prezenta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literă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doar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dacă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beneficiarul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sponsorizării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este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înscris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, la data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încheierii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contractului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în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Registrul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entităților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unităților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de cult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pentru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care se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acordă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deduceri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fiscale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potrivit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alin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>. (4</w:t>
      </w:r>
      <w:r w:rsidRPr="00BF3157">
        <w:rPr>
          <w:rFonts w:ascii="Times New Roman" w:eastAsia="Times New Roman" w:hAnsi="Times New Roman"/>
          <w:i/>
          <w:sz w:val="24"/>
          <w:szCs w:val="24"/>
          <w:vertAlign w:val="superscript"/>
        </w:rPr>
        <w:t>1</w:t>
      </w:r>
      <w:r w:rsidRPr="00BF3157">
        <w:rPr>
          <w:rFonts w:ascii="Times New Roman" w:eastAsia="Times New Roman" w:hAnsi="Times New Roman"/>
          <w:i/>
          <w:sz w:val="24"/>
          <w:szCs w:val="24"/>
        </w:rPr>
        <w:t>).</w:t>
      </w:r>
    </w:p>
    <w:p w:rsidR="00BF3157" w:rsidRPr="00BF3157" w:rsidRDefault="00BF3157" w:rsidP="00BF315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Sumele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care nu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sunt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scăzute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din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impozitul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profit,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potrivit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prevederilor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prezentei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litere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, se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reportează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în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următorii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7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ani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consecutivi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Recuperarea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acestor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sume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proofErr w:type="spellStart"/>
      <w:proofErr w:type="gramStart"/>
      <w:r w:rsidRPr="00BF3157">
        <w:rPr>
          <w:rFonts w:ascii="Times New Roman" w:eastAsia="Times New Roman" w:hAnsi="Times New Roman"/>
          <w:i/>
          <w:sz w:val="24"/>
          <w:szCs w:val="24"/>
        </w:rPr>
        <w:t>va</w:t>
      </w:r>
      <w:proofErr w:type="spellEnd"/>
      <w:proofErr w:type="gram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efectua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în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ordinea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înregistrării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acestora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în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aceleași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condiții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, la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fiecare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termen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plată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a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impozitului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profit.’’</w:t>
      </w:r>
    </w:p>
    <w:p w:rsidR="00BF3157" w:rsidRPr="00BF3157" w:rsidRDefault="00BF3157" w:rsidP="00BF3157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BF3157" w:rsidRPr="00BF3157" w:rsidRDefault="00BF3157" w:rsidP="00BF3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BF3157">
        <w:rPr>
          <w:rFonts w:ascii="Times New Roman" w:hAnsi="Times New Roman"/>
          <w:noProof/>
          <w:sz w:val="24"/>
          <w:szCs w:val="24"/>
          <w:lang w:val="ro-RO"/>
        </w:rPr>
        <w:t xml:space="preserve">La articolul 56, alineatul </w:t>
      </w:r>
      <w:r w:rsidRPr="00BF3157">
        <w:rPr>
          <w:rFonts w:ascii="Times New Roman" w:hAnsi="Times New Roman"/>
          <w:bCs/>
          <w:sz w:val="24"/>
          <w:szCs w:val="24"/>
        </w:rPr>
        <w:t>(1</w:t>
      </w:r>
      <w:r w:rsidRPr="00BF3157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BF3157">
        <w:rPr>
          <w:rFonts w:ascii="Times New Roman" w:hAnsi="Times New Roman"/>
          <w:bCs/>
          <w:sz w:val="24"/>
          <w:szCs w:val="24"/>
        </w:rPr>
        <w:t xml:space="preserve"> ) </w:t>
      </w:r>
      <w:r w:rsidRPr="00BF3157">
        <w:rPr>
          <w:rFonts w:ascii="Times New Roman" w:hAnsi="Times New Roman"/>
          <w:noProof/>
          <w:sz w:val="24"/>
          <w:szCs w:val="24"/>
          <w:lang w:val="ro-RO"/>
        </w:rPr>
        <w:t>va avea următorul cuprins:</w:t>
      </w:r>
    </w:p>
    <w:p w:rsidR="00BF3157" w:rsidRPr="00BF3157" w:rsidRDefault="00BF3157" w:rsidP="00BF3157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BF3157">
        <w:rPr>
          <w:rFonts w:ascii="Times New Roman" w:hAnsi="Times New Roman"/>
          <w:bCs/>
          <w:i/>
          <w:sz w:val="24"/>
          <w:szCs w:val="24"/>
        </w:rPr>
        <w:t>,</w:t>
      </w:r>
      <w:proofErr w:type="gramStart"/>
      <w:r w:rsidRPr="00BF3157">
        <w:rPr>
          <w:rFonts w:ascii="Times New Roman" w:hAnsi="Times New Roman"/>
          <w:bCs/>
          <w:i/>
          <w:sz w:val="24"/>
          <w:szCs w:val="24"/>
        </w:rPr>
        <w:t>,(</w:t>
      </w:r>
      <w:proofErr w:type="gramEnd"/>
      <w:r w:rsidRPr="00BF3157">
        <w:rPr>
          <w:rFonts w:ascii="Times New Roman" w:hAnsi="Times New Roman"/>
          <w:bCs/>
          <w:i/>
          <w:sz w:val="24"/>
          <w:szCs w:val="24"/>
        </w:rPr>
        <w:t>1</w:t>
      </w:r>
      <w:r w:rsidRPr="00BF3157">
        <w:rPr>
          <w:rFonts w:ascii="Times New Roman" w:hAnsi="Times New Roman"/>
          <w:bCs/>
          <w:i/>
          <w:sz w:val="24"/>
          <w:szCs w:val="24"/>
          <w:vertAlign w:val="superscript"/>
        </w:rPr>
        <w:t>1</w:t>
      </w:r>
      <w:r w:rsidRPr="00BF3157">
        <w:rPr>
          <w:rFonts w:ascii="Times New Roman" w:hAnsi="Times New Roman"/>
          <w:bCs/>
          <w:i/>
          <w:sz w:val="24"/>
          <w:szCs w:val="24"/>
        </w:rPr>
        <w:t xml:space="preserve"> )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Microîntreprinderile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care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efectuează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sponsorizări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potrivit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prevederilor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Legii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hyperlink r:id="rId5" w:tgtFrame="_blank" w:history="1">
        <w:r w:rsidRPr="00BF3157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</w:rPr>
          <w:t>nr. 32/1994</w:t>
        </w:r>
      </w:hyperlink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, cu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modificările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și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completările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ulterioare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pentru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susținerea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entităților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nonprofit și a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unităților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de cult, care la data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încheierii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contractului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sunt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înscrise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în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Registrul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entităților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unităților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de cult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pentru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care se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acordă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deduceri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fiscale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potrivit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art. 25 </w:t>
      </w:r>
      <w:hyperlink r:id="rId6" w:anchor="p-277487294" w:tgtFrame="_blank" w:history="1">
        <w:proofErr w:type="spellStart"/>
        <w:r w:rsidRPr="00BF3157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</w:rPr>
          <w:t>alin</w:t>
        </w:r>
        <w:proofErr w:type="spellEnd"/>
        <w:r w:rsidRPr="00BF3157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</w:rPr>
          <w:t>. (4</w:t>
        </w:r>
        <w:r w:rsidRPr="00BF3157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vertAlign w:val="superscript"/>
          </w:rPr>
          <w:t>1</w:t>
        </w:r>
        <w:r w:rsidRPr="00BF3157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</w:rPr>
          <w:t>)</w:t>
        </w:r>
      </w:hyperlink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scad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sumele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aferente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din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impozitul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pe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veniturile</w:t>
      </w:r>
      <w:proofErr w:type="spellEnd"/>
      <w:r w:rsidRPr="00BF315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="Times New Roman" w:hAnsi="Times New Roman"/>
          <w:i/>
          <w:sz w:val="24"/>
          <w:szCs w:val="24"/>
        </w:rPr>
        <w:t>microîntreprinderilor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astfel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>:</w:t>
      </w:r>
    </w:p>
    <w:p w:rsidR="00BF3157" w:rsidRPr="00BF3157" w:rsidRDefault="00BF3157" w:rsidP="00BF3157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p w:rsidR="00BF3157" w:rsidRPr="00BF3157" w:rsidRDefault="00BF3157" w:rsidP="00BF31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lastRenderedPageBreak/>
        <w:t>în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limita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intervalului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de  15%-30% din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impozitul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datorat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pentru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trimestrul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în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care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au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încheiat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cheltuielile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respective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corespunzător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următoarelor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4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praguri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>: 15%, 20%, 25%, 30%;</w:t>
      </w:r>
    </w:p>
    <w:p w:rsidR="00BF3157" w:rsidRPr="00BF3157" w:rsidRDefault="00BF3157" w:rsidP="00BF31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pentru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fiecare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din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cele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4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praguri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enunțate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la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punctul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1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urmează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a se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mai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scade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procente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corespunzătoare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de 2%-3%-4% și 5%, din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diferența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impozitului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de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plată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rămas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a fi de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achitat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astfel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: 2%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pentru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pragul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de 15%, 3%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pentru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pragul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de 20%, 4%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pentru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pragul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de 25% si 5%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pentru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eastAsiaTheme="minorHAnsi" w:hAnsi="Times New Roman"/>
          <w:i/>
          <w:sz w:val="24"/>
          <w:szCs w:val="24"/>
        </w:rPr>
        <w:t>pragul</w:t>
      </w:r>
      <w:proofErr w:type="spellEnd"/>
      <w:r w:rsidRPr="00BF3157">
        <w:rPr>
          <w:rFonts w:ascii="Times New Roman" w:eastAsiaTheme="minorHAnsi" w:hAnsi="Times New Roman"/>
          <w:i/>
          <w:sz w:val="24"/>
          <w:szCs w:val="24"/>
        </w:rPr>
        <w:t xml:space="preserve"> de 30%.</w:t>
      </w:r>
    </w:p>
    <w:p w:rsidR="00BF3157" w:rsidRPr="00BF3157" w:rsidRDefault="00BF3157" w:rsidP="00BF31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3157">
        <w:rPr>
          <w:rFonts w:ascii="Times New Roman" w:hAnsi="Times New Roman"/>
          <w:i/>
          <w:sz w:val="24"/>
          <w:szCs w:val="24"/>
        </w:rPr>
        <w:t xml:space="preserve"> </w:t>
      </w:r>
    </w:p>
    <w:p w:rsidR="00BF3157" w:rsidRPr="00BF3157" w:rsidRDefault="00BF3157" w:rsidP="00BF3157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BF3157">
        <w:rPr>
          <w:rFonts w:ascii="Times New Roman" w:hAnsi="Times New Roman"/>
          <w:b/>
          <w:noProof/>
          <w:sz w:val="24"/>
          <w:szCs w:val="24"/>
          <w:lang w:val="ro-RO"/>
        </w:rPr>
        <w:t>3.</w:t>
      </w:r>
      <w:r w:rsidRPr="00BF3157">
        <w:rPr>
          <w:rFonts w:ascii="Times New Roman" w:hAnsi="Times New Roman"/>
          <w:noProof/>
          <w:sz w:val="24"/>
          <w:szCs w:val="24"/>
          <w:lang w:val="ro-RO"/>
        </w:rPr>
        <w:t xml:space="preserve">La CAPITOLUL VIII, Taxe speciale, articolul 484 se completează cu un nou aliniat, alineatul </w:t>
      </w:r>
      <w:r w:rsidRPr="00BF3157">
        <w:rPr>
          <w:rFonts w:ascii="Times New Roman" w:hAnsi="Times New Roman"/>
          <w:bCs/>
          <w:sz w:val="24"/>
          <w:szCs w:val="24"/>
        </w:rPr>
        <w:t xml:space="preserve">(5) care </w:t>
      </w:r>
      <w:r w:rsidRPr="00BF3157">
        <w:rPr>
          <w:rFonts w:ascii="Times New Roman" w:hAnsi="Times New Roman"/>
          <w:noProof/>
          <w:sz w:val="24"/>
          <w:szCs w:val="24"/>
          <w:lang w:val="ro-RO"/>
        </w:rPr>
        <w:t>va avea următorul cuprins:</w:t>
      </w:r>
    </w:p>
    <w:p w:rsidR="00BF3157" w:rsidRPr="00BF3157" w:rsidRDefault="00BF3157" w:rsidP="00BF31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Taxa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pentru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gramStart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sport 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este</w:t>
      </w:r>
      <w:proofErr w:type="spellEnd"/>
      <w:proofErr w:type="gram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aplicată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operatorilor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economici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care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activează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în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color w:val="333333"/>
          <w:sz w:val="24"/>
          <w:szCs w:val="24"/>
        </w:rPr>
        <w:t>domeniile</w:t>
      </w:r>
      <w:proofErr w:type="spellEnd"/>
      <w:r w:rsidRPr="00BF3157">
        <w:rPr>
          <w:rFonts w:ascii="Times New Roman" w:hAnsi="Times New Roman"/>
          <w:i/>
          <w:color w:val="333333"/>
          <w:sz w:val="24"/>
          <w:szCs w:val="24"/>
        </w:rPr>
        <w:t>:</w:t>
      </w:r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F3157">
        <w:rPr>
          <w:rFonts w:ascii="Times New Roman" w:hAnsi="Times New Roman"/>
          <w:bCs/>
          <w:i/>
          <w:sz w:val="24"/>
          <w:szCs w:val="24"/>
        </w:rPr>
        <w:t xml:space="preserve">02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Silvicultură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exploatare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forestieră</w:t>
      </w:r>
      <w:proofErr w:type="spellEnd"/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F3157">
        <w:rPr>
          <w:rFonts w:ascii="Times New Roman" w:hAnsi="Times New Roman"/>
          <w:bCs/>
          <w:i/>
          <w:sz w:val="24"/>
          <w:szCs w:val="24"/>
        </w:rPr>
        <w:t xml:space="preserve">06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Extracţia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petrolului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brut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a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gazelor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naturale</w:t>
      </w:r>
      <w:proofErr w:type="spellEnd"/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F3157">
        <w:rPr>
          <w:rFonts w:ascii="Times New Roman" w:hAnsi="Times New Roman"/>
          <w:bCs/>
          <w:i/>
          <w:sz w:val="24"/>
          <w:szCs w:val="24"/>
        </w:rPr>
        <w:t xml:space="preserve">10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Industria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alimentară</w:t>
      </w:r>
      <w:proofErr w:type="spellEnd"/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F3157">
        <w:rPr>
          <w:rFonts w:ascii="Times New Roman" w:hAnsi="Times New Roman"/>
          <w:bCs/>
          <w:i/>
          <w:sz w:val="24"/>
          <w:szCs w:val="24"/>
        </w:rPr>
        <w:t xml:space="preserve">11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Fabricarea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băuturilor</w:t>
      </w:r>
      <w:proofErr w:type="spellEnd"/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F3157">
        <w:rPr>
          <w:rFonts w:ascii="Times New Roman" w:hAnsi="Times New Roman"/>
          <w:bCs/>
          <w:i/>
          <w:sz w:val="24"/>
          <w:szCs w:val="24"/>
        </w:rPr>
        <w:t xml:space="preserve">12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Fabricarea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produselor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din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tutun</w:t>
      </w:r>
      <w:proofErr w:type="spellEnd"/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F3157">
        <w:rPr>
          <w:rFonts w:ascii="Times New Roman" w:hAnsi="Times New Roman"/>
          <w:bCs/>
          <w:i/>
          <w:sz w:val="24"/>
          <w:szCs w:val="24"/>
        </w:rPr>
        <w:t xml:space="preserve">19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Fabricarea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produselor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cocserie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a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produselor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obţinute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din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prelucrarea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ţiţeiului</w:t>
      </w:r>
      <w:proofErr w:type="spellEnd"/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F3157">
        <w:rPr>
          <w:rFonts w:ascii="Times New Roman" w:hAnsi="Times New Roman"/>
          <w:bCs/>
          <w:i/>
          <w:sz w:val="24"/>
          <w:szCs w:val="24"/>
        </w:rPr>
        <w:t xml:space="preserve">20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Fabricarea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substanţelor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a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produselor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chimice</w:t>
      </w:r>
      <w:proofErr w:type="spellEnd"/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F3157">
        <w:rPr>
          <w:rFonts w:ascii="Times New Roman" w:hAnsi="Times New Roman"/>
          <w:bCs/>
          <w:i/>
          <w:sz w:val="24"/>
          <w:szCs w:val="24"/>
        </w:rPr>
        <w:t xml:space="preserve">21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Fabricarea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produselor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farmaceutice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bază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a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preparatelor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farmaceutice</w:t>
      </w:r>
      <w:proofErr w:type="spellEnd"/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F3157">
        <w:rPr>
          <w:rFonts w:ascii="Times New Roman" w:hAnsi="Times New Roman"/>
          <w:bCs/>
          <w:i/>
          <w:sz w:val="24"/>
          <w:szCs w:val="24"/>
        </w:rPr>
        <w:t xml:space="preserve">22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Fabricarea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produselor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din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cauciuc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mase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plastice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>.</w:t>
      </w:r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F3157">
        <w:rPr>
          <w:rFonts w:ascii="Times New Roman" w:hAnsi="Times New Roman"/>
          <w:bCs/>
          <w:i/>
          <w:sz w:val="24"/>
          <w:szCs w:val="24"/>
        </w:rPr>
        <w:t xml:space="preserve">35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Producţia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furnizarea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energie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electrică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termică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, gaze, </w:t>
      </w:r>
      <w:proofErr w:type="spellStart"/>
      <w:proofErr w:type="gramStart"/>
      <w:r w:rsidRPr="00BF3157">
        <w:rPr>
          <w:rFonts w:ascii="Times New Roman" w:hAnsi="Times New Roman"/>
          <w:bCs/>
          <w:i/>
          <w:sz w:val="24"/>
          <w:szCs w:val="24"/>
        </w:rPr>
        <w:t>apă</w:t>
      </w:r>
      <w:proofErr w:type="spellEnd"/>
      <w:proofErr w:type="gram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caldă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aer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condiţionat</w:t>
      </w:r>
      <w:proofErr w:type="spellEnd"/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F3157">
        <w:rPr>
          <w:rFonts w:ascii="Times New Roman" w:hAnsi="Times New Roman"/>
          <w:bCs/>
          <w:i/>
          <w:sz w:val="24"/>
          <w:szCs w:val="24"/>
        </w:rPr>
        <w:t xml:space="preserve">36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Captarea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tratarea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distribuţia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apei</w:t>
      </w:r>
      <w:proofErr w:type="spellEnd"/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F3157">
        <w:rPr>
          <w:rFonts w:ascii="Times New Roman" w:hAnsi="Times New Roman"/>
          <w:bCs/>
          <w:i/>
          <w:sz w:val="24"/>
          <w:szCs w:val="24"/>
        </w:rPr>
        <w:t xml:space="preserve">37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Colectarea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epurarea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apelor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uzate</w:t>
      </w:r>
      <w:proofErr w:type="spellEnd"/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F3157">
        <w:rPr>
          <w:rFonts w:ascii="Times New Roman" w:hAnsi="Times New Roman"/>
          <w:bCs/>
          <w:i/>
          <w:sz w:val="24"/>
          <w:szCs w:val="24"/>
        </w:rPr>
        <w:t xml:space="preserve">38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Colectarea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tratarea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eliminarea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deşeurilor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;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activităţi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recuperare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a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materialelor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reciclabile</w:t>
      </w:r>
      <w:proofErr w:type="spellEnd"/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F3157">
        <w:rPr>
          <w:rFonts w:ascii="Times New Roman" w:hAnsi="Times New Roman"/>
          <w:bCs/>
          <w:i/>
          <w:sz w:val="24"/>
          <w:szCs w:val="24"/>
        </w:rPr>
        <w:t xml:space="preserve">61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Telecomunicaţii</w:t>
      </w:r>
      <w:proofErr w:type="spellEnd"/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F3157">
        <w:rPr>
          <w:rFonts w:ascii="Times New Roman" w:hAnsi="Times New Roman"/>
          <w:bCs/>
          <w:i/>
          <w:sz w:val="24"/>
          <w:szCs w:val="24"/>
        </w:rPr>
        <w:t xml:space="preserve">64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Intermedieri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financiare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, cu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excepţia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activităţilor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asigurări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ale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fondurilor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pensii</w:t>
      </w:r>
      <w:proofErr w:type="spellEnd"/>
    </w:p>
    <w:p w:rsidR="00BF3157" w:rsidRPr="00BF3157" w:rsidRDefault="00BF3157" w:rsidP="00BF3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F3157">
        <w:rPr>
          <w:rFonts w:ascii="Times New Roman" w:hAnsi="Times New Roman"/>
          <w:bCs/>
          <w:i/>
          <w:sz w:val="24"/>
          <w:szCs w:val="24"/>
        </w:rPr>
        <w:t xml:space="preserve">65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Activităţi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asigurări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reasigurări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ale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fondurilor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pensii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(cu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excepţia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celor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din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sistemul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public de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asigurări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sociale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>)</w:t>
      </w:r>
    </w:p>
    <w:p w:rsidR="00BF3157" w:rsidRPr="00BF3157" w:rsidRDefault="00BF3157" w:rsidP="00BF31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Tranzacţii</w:t>
      </w:r>
      <w:proofErr w:type="spellEnd"/>
      <w:r w:rsidRPr="00BF315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bCs/>
          <w:i/>
          <w:sz w:val="24"/>
          <w:szCs w:val="24"/>
        </w:rPr>
        <w:t>imobiliare</w:t>
      </w:r>
      <w:proofErr w:type="spellEnd"/>
    </w:p>
    <w:p w:rsidR="00BF3157" w:rsidRPr="00BF3157" w:rsidRDefault="00BF3157" w:rsidP="00BF31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F3157" w:rsidRPr="00BF3157" w:rsidRDefault="00BF3157" w:rsidP="00BF31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BF3157">
        <w:rPr>
          <w:rFonts w:ascii="Times New Roman" w:hAnsi="Times New Roman"/>
          <w:i/>
          <w:sz w:val="24"/>
          <w:szCs w:val="24"/>
        </w:rPr>
        <w:t>Cuantumul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taxei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sport </w:t>
      </w:r>
      <w:proofErr w:type="spellStart"/>
      <w:proofErr w:type="gramStart"/>
      <w:r w:rsidRPr="00BF3157">
        <w:rPr>
          <w:rFonts w:ascii="Times New Roman" w:hAnsi="Times New Roman"/>
          <w:i/>
          <w:sz w:val="24"/>
          <w:szCs w:val="24"/>
        </w:rPr>
        <w:t>este</w:t>
      </w:r>
      <w:proofErr w:type="spellEnd"/>
      <w:proofErr w:type="gram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valoare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de 1% din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cifra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afaceri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este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colectată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către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Ministerul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Finanţe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. Taxa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sport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va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fi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distribuită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către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Ministerul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Tineretului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si Sportului s</w:t>
      </w:r>
      <w:r w:rsidR="000F3F86">
        <w:rPr>
          <w:rFonts w:ascii="Times New Roman" w:hAnsi="Times New Roman"/>
          <w:i/>
          <w:sz w:val="24"/>
          <w:szCs w:val="24"/>
        </w:rPr>
        <w:t xml:space="preserve">i </w:t>
      </w:r>
      <w:proofErr w:type="spellStart"/>
      <w:r w:rsidR="000F3F86">
        <w:rPr>
          <w:rFonts w:ascii="Times New Roman" w:hAnsi="Times New Roman"/>
          <w:i/>
          <w:sz w:val="24"/>
          <w:szCs w:val="24"/>
        </w:rPr>
        <w:t>Ministerul</w:t>
      </w:r>
      <w:proofErr w:type="spellEnd"/>
      <w:r w:rsidR="000F3F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3F86">
        <w:rPr>
          <w:rFonts w:ascii="Times New Roman" w:hAnsi="Times New Roman"/>
          <w:i/>
          <w:sz w:val="24"/>
          <w:szCs w:val="24"/>
        </w:rPr>
        <w:t>Educaţiei</w:t>
      </w:r>
      <w:proofErr w:type="spellEnd"/>
      <w:r w:rsidR="000F3F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3F86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0F3F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3F86">
        <w:rPr>
          <w:rFonts w:ascii="Times New Roman" w:hAnsi="Times New Roman"/>
          <w:i/>
          <w:sz w:val="24"/>
          <w:szCs w:val="24"/>
        </w:rPr>
        <w:t>Cercetării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care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baza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Metologiei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Finanţare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a Sportului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Şcolar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Universitar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stabilită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Ordin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Comun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de</w:t>
      </w:r>
      <w:r w:rsidR="000F3F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3F86">
        <w:rPr>
          <w:rFonts w:ascii="Times New Roman" w:hAnsi="Times New Roman"/>
          <w:i/>
          <w:sz w:val="24"/>
          <w:szCs w:val="24"/>
        </w:rPr>
        <w:t>Ministru</w:t>
      </w:r>
      <w:proofErr w:type="spellEnd"/>
      <w:r w:rsidR="000F3F86">
        <w:rPr>
          <w:rFonts w:ascii="Times New Roman" w:hAnsi="Times New Roman"/>
          <w:i/>
          <w:sz w:val="24"/>
          <w:szCs w:val="24"/>
        </w:rPr>
        <w:t xml:space="preserve"> al </w:t>
      </w:r>
      <w:proofErr w:type="spellStart"/>
      <w:r w:rsidR="000F3F86">
        <w:rPr>
          <w:rFonts w:ascii="Times New Roman" w:hAnsi="Times New Roman"/>
          <w:i/>
          <w:sz w:val="24"/>
          <w:szCs w:val="24"/>
        </w:rPr>
        <w:t>Educaţiei</w:t>
      </w:r>
      <w:proofErr w:type="spellEnd"/>
      <w:r w:rsidR="000F3F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3F86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0F3F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3F86">
        <w:rPr>
          <w:rFonts w:ascii="Times New Roman" w:hAnsi="Times New Roman"/>
          <w:i/>
          <w:sz w:val="24"/>
          <w:szCs w:val="24"/>
        </w:rPr>
        <w:t>Cercetării</w:t>
      </w:r>
      <w:proofErr w:type="spellEnd"/>
      <w:r w:rsidR="000F3F86">
        <w:rPr>
          <w:rFonts w:ascii="Times New Roman" w:hAnsi="Times New Roman"/>
          <w:i/>
          <w:sz w:val="24"/>
          <w:szCs w:val="24"/>
        </w:rPr>
        <w:t xml:space="preserve"> respective </w:t>
      </w:r>
      <w:proofErr w:type="spellStart"/>
      <w:r w:rsidR="000F3F86">
        <w:rPr>
          <w:rFonts w:ascii="Times New Roman" w:hAnsi="Times New Roman"/>
          <w:i/>
          <w:sz w:val="24"/>
          <w:szCs w:val="24"/>
        </w:rPr>
        <w:t>Ministerul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Tineretului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Sportului,,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va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fi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redistribuită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Federaţiilor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Naţionale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pe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R</w:t>
      </w:r>
      <w:r w:rsidR="000F3F86">
        <w:rPr>
          <w:rFonts w:ascii="Times New Roman" w:hAnsi="Times New Roman"/>
          <w:i/>
          <w:sz w:val="24"/>
          <w:szCs w:val="24"/>
        </w:rPr>
        <w:t>a</w:t>
      </w:r>
      <w:bookmarkStart w:id="0" w:name="_GoBack"/>
      <w:bookmarkEnd w:id="0"/>
      <w:r w:rsidRPr="00BF3157">
        <w:rPr>
          <w:rFonts w:ascii="Times New Roman" w:hAnsi="Times New Roman"/>
          <w:i/>
          <w:sz w:val="24"/>
          <w:szCs w:val="24"/>
        </w:rPr>
        <w:t>mură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de Sport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dezvoltarea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de Centre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Naţionale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Excelenţă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Copii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Juniori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Asociaţiilor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Sportive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Şcolare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Asociaţiilor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Sportive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Universitare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Cluburilor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Sportive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Şcolare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Cluburilor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 xml:space="preserve"> Sportive </w:t>
      </w:r>
      <w:proofErr w:type="spellStart"/>
      <w:r w:rsidRPr="00BF3157">
        <w:rPr>
          <w:rFonts w:ascii="Times New Roman" w:hAnsi="Times New Roman"/>
          <w:i/>
          <w:sz w:val="24"/>
          <w:szCs w:val="24"/>
        </w:rPr>
        <w:t>Universitare</w:t>
      </w:r>
      <w:proofErr w:type="spellEnd"/>
      <w:r w:rsidRPr="00BF3157">
        <w:rPr>
          <w:rFonts w:ascii="Times New Roman" w:hAnsi="Times New Roman"/>
          <w:i/>
          <w:sz w:val="24"/>
          <w:szCs w:val="24"/>
        </w:rPr>
        <w:t>.’’</w:t>
      </w:r>
    </w:p>
    <w:p w:rsidR="0014125C" w:rsidRDefault="0014125C" w:rsidP="00BF3157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5C4642" w:rsidRPr="00E15386" w:rsidRDefault="005C4642" w:rsidP="005C4642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E15386">
        <w:rPr>
          <w:rFonts w:ascii="Times New Roman" w:hAnsi="Times New Roman"/>
          <w:b/>
          <w:noProof/>
          <w:sz w:val="24"/>
          <w:szCs w:val="24"/>
          <w:lang w:val="ro-RO"/>
        </w:rPr>
        <w:t xml:space="preserve">PREŞEDINTELE CAMEREI                                             PREŞEDINTELE SENATULUI    </w:t>
      </w:r>
    </w:p>
    <w:p w:rsidR="00627F05" w:rsidRPr="0014125C" w:rsidRDefault="005C4642" w:rsidP="001412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15386">
        <w:rPr>
          <w:rFonts w:ascii="Times New Roman" w:hAnsi="Times New Roman"/>
          <w:b/>
          <w:noProof/>
          <w:sz w:val="24"/>
          <w:szCs w:val="24"/>
          <w:lang w:val="ro-RO"/>
        </w:rPr>
        <w:t xml:space="preserve">         DEPUTAŢILOR                               </w:t>
      </w:r>
      <w:r w:rsidR="0014125C">
        <w:rPr>
          <w:rFonts w:ascii="Times New Roman" w:hAnsi="Times New Roman"/>
          <w:b/>
          <w:noProof/>
          <w:sz w:val="24"/>
          <w:szCs w:val="24"/>
          <w:lang w:val="ro-RO"/>
        </w:rPr>
        <w:t xml:space="preserve">                               </w:t>
      </w:r>
    </w:p>
    <w:sectPr w:rsidR="00627F05" w:rsidRPr="0014125C" w:rsidSect="006A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26AC4"/>
    <w:multiLevelType w:val="hybridMultilevel"/>
    <w:tmpl w:val="BB0E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6027"/>
    <w:multiLevelType w:val="hybridMultilevel"/>
    <w:tmpl w:val="7062C8E6"/>
    <w:lvl w:ilvl="0" w:tplc="68F29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103966"/>
    <w:multiLevelType w:val="hybridMultilevel"/>
    <w:tmpl w:val="7BCEED0A"/>
    <w:lvl w:ilvl="0" w:tplc="CC1E4AD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B5675C"/>
    <w:multiLevelType w:val="hybridMultilevel"/>
    <w:tmpl w:val="9040839E"/>
    <w:lvl w:ilvl="0" w:tplc="DB1A277C">
      <w:start w:val="6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805565"/>
    <w:multiLevelType w:val="hybridMultilevel"/>
    <w:tmpl w:val="9F5E7B7E"/>
    <w:lvl w:ilvl="0" w:tplc="FCCEF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02E68"/>
    <w:multiLevelType w:val="hybridMultilevel"/>
    <w:tmpl w:val="AA7E56C2"/>
    <w:lvl w:ilvl="0" w:tplc="315298D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27F05"/>
    <w:rsid w:val="000D70FA"/>
    <w:rsid w:val="000F3F86"/>
    <w:rsid w:val="0014125C"/>
    <w:rsid w:val="001D6939"/>
    <w:rsid w:val="00227B86"/>
    <w:rsid w:val="004332D4"/>
    <w:rsid w:val="00457784"/>
    <w:rsid w:val="005C4642"/>
    <w:rsid w:val="005C4BD2"/>
    <w:rsid w:val="00627F05"/>
    <w:rsid w:val="006A6C88"/>
    <w:rsid w:val="006E0E75"/>
    <w:rsid w:val="00783382"/>
    <w:rsid w:val="0090743B"/>
    <w:rsid w:val="00967658"/>
    <w:rsid w:val="009D71F4"/>
    <w:rsid w:val="00AD422C"/>
    <w:rsid w:val="00BF3157"/>
    <w:rsid w:val="00D0692D"/>
    <w:rsid w:val="00D52CFA"/>
    <w:rsid w:val="00DE7CA4"/>
    <w:rsid w:val="00EE2DAC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092FA-608B-41A5-99B9-15B68690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0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5.ro/App/Document/g43donzvgi/codul-fiscal-din-2015?pid=277487294&amp;d=2019-10-22" TargetMode="External"/><Relationship Id="rId5" Type="http://schemas.openxmlformats.org/officeDocument/2006/relationships/hyperlink" Target="https://lege5.ro/App/Document/he2dioi/legea-nr-32-1994-privind-sponsorizarea?d=2019-10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Summer Edition 2007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XPower Edition</dc:creator>
  <cp:lastModifiedBy>Caliman Constantin</cp:lastModifiedBy>
  <cp:revision>8</cp:revision>
  <cp:lastPrinted>2016-11-14T07:18:00Z</cp:lastPrinted>
  <dcterms:created xsi:type="dcterms:W3CDTF">2019-03-15T08:31:00Z</dcterms:created>
  <dcterms:modified xsi:type="dcterms:W3CDTF">2019-12-02T10:45:00Z</dcterms:modified>
</cp:coreProperties>
</file>